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5" w:rsidRDefault="00AA6934">
      <w:pPr>
        <w:spacing w:after="0" w:line="360" w:lineRule="auto"/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Załącznik nr 4</w:t>
      </w:r>
    </w:p>
    <w:p w:rsidR="00793655" w:rsidRDefault="00AA6934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Zamówienie na materiały biurowe  Ośrodek Adopcyjny w Gorzowie Wielkopolskim - Regionalny Ośrodek Polityki Społecznej w Zielonej Górze.</w:t>
      </w:r>
    </w:p>
    <w:p w:rsidR="00793655" w:rsidRDefault="0079365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W w:w="1334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904"/>
        <w:gridCol w:w="4682"/>
        <w:gridCol w:w="1134"/>
        <w:gridCol w:w="1276"/>
        <w:gridCol w:w="1276"/>
        <w:gridCol w:w="1276"/>
        <w:gridCol w:w="1276"/>
      </w:tblGrid>
      <w:tr w:rsidR="00793655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Wykaz 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ateriałów biurowych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netto/szt.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w złotych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w złotych brutto</w:t>
            </w: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Płyta DVD +/- RW firmowa typu Verbatim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wielokrotnego zapisu ( może być zapisywana i kasowana ponad 1000 </w:t>
            </w:r>
            <w:r>
              <w:rPr>
                <w:rFonts w:ascii="Arial Narrow" w:hAnsi="Arial Narrow" w:cs="Arial"/>
                <w:sz w:val="20"/>
                <w:szCs w:val="20"/>
              </w:rPr>
              <w:t>razy bez utraty jakości zapisu ),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o pojemności 4,7 GB / 120 min i prędkości zapisu 4x,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1 płyta w opakowaniu plastikowym,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Blok biurowy A4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 okładką, format A4, 100 kartek, wykonany z białego gładkiego papieru w kratkę, klejony na górze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Blok biurowy A5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 okładką, format A5, 100 kartek, wykonany z białego gładkiego papieru w kratkę, klejony na górze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Brulion A5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format A5, 96 kartek, w kratkę, twarda laminowana oprawa, szyty, papier biały o gramaturze 60 g/m²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Cienkopis typu STABILO POINT 88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 plastikową końcówką oprawioną w metal, odpowiedni do linijki i szablonu, wentylowana skuwka w kolorze tuszu, grubość linii 0,4 mm, odporny na wysychanie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tusz na bazie wody, różne kolory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Etykiety samoprzylepne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białe, uniwersalne - do wszystkich rodzajów drukarek, charakteryzujące się bardzo dobrą przyczepnością do podłoża, na arkuszach A4, rozmiar 70x37 mm,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1 opakowanie 100 arkuszy / 2400 etykiet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sz w:val="20"/>
                <w:szCs w:val="20"/>
              </w:rPr>
              <w:t>Fastykuły archiwizacyjne A4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sz w:val="20"/>
                <w:szCs w:val="20"/>
              </w:rPr>
              <w:t>wykonane z bardzo twardej tektury, z 2 dziurkami tylko po jednej stronie dłuższego boku i taśmą do związania, umożliwiające zarchiwizowanie dokumentów wyjętych z segregatora, 2 sztuki + taśma o dł. min. 2 mb – komplet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Gumka do mazania typu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ZEH 05 PENTEL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biała gumka do usuwania śladów ołówka, może być stosowana do każdego rodzaju papieru, umieszczona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 opakowaniu ochronnym,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Gumki recepturki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Pa4"/>
            </w:pPr>
            <w:r>
              <w:rPr>
                <w:rFonts w:ascii="Arial Narrow" w:hAnsi="Arial Narrow" w:cs="News Gothic CE"/>
                <w:color w:val="000000"/>
                <w:sz w:val="20"/>
                <w:szCs w:val="20"/>
              </w:rPr>
              <w:t xml:space="preserve">elastyczne, kolorowe o różnej średnicy, w plastikowym pudełku, </w:t>
            </w:r>
            <w:r>
              <w:rPr>
                <w:rFonts w:ascii="Arial Narrow" w:hAnsi="Arial Narrow" w:cs="Arial"/>
                <w:sz w:val="20"/>
                <w:szCs w:val="20"/>
              </w:rPr>
              <w:t>waga 40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Kalendarz biurkowy na 2015 rok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/>
                <w:color w:val="1C2420"/>
                <w:sz w:val="20"/>
                <w:szCs w:val="20"/>
              </w:rPr>
            </w:pPr>
            <w:r>
              <w:rPr>
                <w:rFonts w:ascii="Arial Narrow" w:hAnsi="Arial Narrow"/>
                <w:color w:val="1C2420"/>
                <w:sz w:val="20"/>
                <w:szCs w:val="20"/>
              </w:rPr>
              <w:t>Klasyczny 2-kolorowy kalendarz biurowy stojący w układzie: tydzień na stronie. Format bloku netto: 152 x 200 mm. Podstawka ze sztywnego kartonu formowana</w:t>
            </w:r>
          </w:p>
          <w:p w:rsidR="00793655" w:rsidRDefault="00AA6934">
            <w:pPr>
              <w:rPr>
                <w:rFonts w:ascii="Arial Narrow" w:hAnsi="Arial Narrow"/>
                <w:color w:val="1C2420"/>
                <w:sz w:val="20"/>
                <w:szCs w:val="20"/>
              </w:rPr>
            </w:pPr>
            <w:r>
              <w:rPr>
                <w:rFonts w:ascii="Arial Narrow" w:hAnsi="Arial Narrow"/>
                <w:color w:val="1C2420"/>
                <w:sz w:val="20"/>
                <w:szCs w:val="20"/>
              </w:rPr>
              <w:t>w stojak o profilu trójkątnym. Oprawa grzbietu oczka wire-ring.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sz w:val="20"/>
                <w:szCs w:val="20"/>
              </w:rPr>
              <w:t>Terminarz tygodniowy na 2015 rok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przeszywany terminarz tygodniowy na 2015 rok kalendarz i terminarz B5 z kremowym papierem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Klej biurowy typu Pritt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Pa4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klej w sztyfcie, </w:t>
            </w:r>
            <w:r>
              <w:rPr>
                <w:rFonts w:ascii="Arial Narrow" w:hAnsi="Arial Narrow" w:cs="News Gothic CE"/>
                <w:color w:val="000000"/>
                <w:sz w:val="20"/>
                <w:szCs w:val="20"/>
              </w:rPr>
              <w:t xml:space="preserve">do czystego, szybkiego i dokładnego klejenia papieru, </w:t>
            </w:r>
            <w:r>
              <w:rPr>
                <w:rFonts w:ascii="Arial Narrow" w:hAnsi="Arial Narrow" w:cs="News Gothic CE"/>
                <w:color w:val="000000"/>
                <w:sz w:val="20"/>
                <w:szCs w:val="20"/>
              </w:rPr>
              <w:t>kopert, tektury i zdjęć,</w:t>
            </w:r>
          </w:p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wysokiej jakości, ekologiczny, nie zawiera rozpuszczalników, nie marszczy papieru, nie wysycha dzięki specjalnemu hermetycznemu opakowaniu, zmywalny, gramatura 17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Koperta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biała, format C5, samoklejąca, bez okna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Koperta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biała, format C6, </w:t>
            </w:r>
            <w:bookmarkStart w:id="1" w:name="OLE_LINK3"/>
            <w:bookmarkStart w:id="2" w:name="OLE_LINK4"/>
            <w:r>
              <w:rPr>
                <w:rFonts w:ascii="Arial Narrow" w:hAnsi="Arial Narrow" w:cs="Arial"/>
                <w:sz w:val="20"/>
                <w:szCs w:val="20"/>
              </w:rPr>
              <w:t>samoklejąca</w:t>
            </w:r>
            <w:bookmarkEnd w:id="1"/>
            <w:bookmarkEnd w:id="2"/>
            <w:r>
              <w:rPr>
                <w:rFonts w:ascii="Arial Narrow" w:hAnsi="Arial Narrow" w:cs="Arial"/>
                <w:sz w:val="20"/>
                <w:szCs w:val="20"/>
              </w:rPr>
              <w:t>, bez okna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Koperta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biała, z zabezpieczeniem powietrznym, wkład z folii bąbelkowej, samoklejąca, na dokumenty formatu 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Kostka biurowa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biała, w pojemniku </w:t>
            </w:r>
            <w:r>
              <w:rPr>
                <w:rFonts w:ascii="Arial Narrow" w:hAnsi="Arial Narrow" w:cs="Arial"/>
                <w:sz w:val="20"/>
                <w:szCs w:val="20"/>
              </w:rPr>
              <w:t>plastikowym, rozmiar kostki 85x85x85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Kostka biurowa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kostka klejonych wzdłuż jednego boku karteczek w kolorze białym, rozmiar kostki: 85x85x40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Koszulki A4 typu Bantex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 dokumenty formatu A4, wykonane z folii PP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strukturze groszkowej, brzeg specjalnie wzmocniony, multiperforowane, otwarte na górze, przezroczyste, antyelektrostatyczne, 1 opakowanie 100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Notes samoprzylepny typu Donau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bloczek karteczek samoprzylepnych </w:t>
            </w:r>
            <w:r>
              <w:rPr>
                <w:rFonts w:ascii="Arial Narrow" w:hAnsi="Arial Narrow" w:cs="Arial"/>
                <w:sz w:val="20"/>
                <w:szCs w:val="20"/>
              </w:rPr>
              <w:t>38x51 mm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substancja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klejąca usuwana za pomocą wody,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bloczek / 100 karteczek,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Notes samoprzylepny typu Donau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bloczek karteczek samoprzylepnych </w:t>
            </w:r>
            <w:r>
              <w:rPr>
                <w:rFonts w:ascii="Arial Narrow" w:hAnsi="Arial Narrow" w:cs="Arial"/>
                <w:sz w:val="20"/>
                <w:szCs w:val="20"/>
              </w:rPr>
              <w:t>76x76 mm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zapakowany w torebkę foliową z paskiem ułatwiającym natychmiastowe otwarcie, substancja klejąca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usuwana za pomocą wody, 1 </w:t>
            </w:r>
            <w:r>
              <w:rPr>
                <w:rFonts w:ascii="Arial Narrow" w:hAnsi="Arial Narrow" w:cs="Arial"/>
                <w:sz w:val="20"/>
                <w:szCs w:val="20"/>
              </w:rPr>
              <w:t>bloczek / 100 karteczek,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Ofertówki A4 krystaliczne twarde bezbarwne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Wykonane ze sztywnej folii PCV, która skutecznie chroni dokumenty pakowane po 25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Pinezki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tablic korkowych, beczułki, 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opakowanie 50 sztuk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w różnych kolorach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Segregator typu  Bantex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ekologiczny z mechanizmem dźwigniowym z dociskiem, format A4, szerokość grzbietu 50 mm, oklejony na zewnątrz folią PP, wewnątrz biała, nabłyszczana wyklejka papierowa,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dwustronna wymienna etykieta opisowa, dwa okute otwory rado na przedniej okładce, dolne krawędzie wzmocnione niklowymi okuciami, wzmocniony otwór na palec, różne kolory okładek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Segregator typu  Bantex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ekologiczny z mechanizmem dźwigniowym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dociskiem, format A4, szerokość grzbietu minimum 75 mm, oklejony na zewnątrz folią PP, wewnątrz biała, nabłyszczana wyklejka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papierowa, dwustronna wymienna etykieta opisowa, dwa okute otwory rado na przedniej okładce, dolne krawędzie wzmocnione niklowym</w:t>
            </w:r>
            <w:r>
              <w:rPr>
                <w:rFonts w:ascii="Arial Narrow" w:hAnsi="Arial Narrow" w:cs="Arial"/>
                <w:sz w:val="20"/>
                <w:szCs w:val="20"/>
              </w:rPr>
              <w:t>i okuciami, wzmocniony otwór na palec, różne kolory okładek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Skoroszyt typu Biurfol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wykonany ze sztywnej folii PCV, przednia okładka krystaliczna, tylna kolorowa, wymienny pasek do opisu, zaokrąglone rogi obu okładek, format A4, różne </w:t>
            </w:r>
            <w:r>
              <w:rPr>
                <w:rFonts w:ascii="Arial Narrow" w:hAnsi="Arial Narrow" w:cs="Arial"/>
                <w:sz w:val="20"/>
                <w:szCs w:val="20"/>
              </w:rPr>
              <w:t>kolory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Skoroszyt plastikowy zawieszkowy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sz w:val="20"/>
                <w:szCs w:val="20"/>
              </w:rPr>
              <w:t xml:space="preserve">Skoroszyt twardy zawieszany do segregatora typu Biurfol, format A4, przednia okładka przezroczysta, tylna kolorowa, wykonany z sztywnego PCV, wyposażony w papierowy, wysuwany pasek do opisu, </w:t>
            </w:r>
            <w:r>
              <w:rPr>
                <w:rFonts w:ascii="Arial Narrow" w:hAnsi="Arial Narrow"/>
                <w:sz w:val="20"/>
                <w:szCs w:val="20"/>
              </w:rPr>
              <w:t>zaokrąglone rogi obu okładek, wyposażony w boczną perforację, co umożliwia wpięcie do segregatora z dowolnym ringiem, pakowany po 10 sztuk, jednostka sprzedaży 1 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Spinacze biurowe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niklowane, okrągłe 33 mm, 1 opakowanie 100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Spinacze biurowe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niklowane, trójkątne 25 mm, 1 opakowanie 100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Ściereczki do monitorów typu Apli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nasączone, przeznaczone do czyszczenia ekranów monitorów LCD, skanerów, ekranów PDA, filtrów monitorowych, powierzchni </w:t>
            </w:r>
            <w:r>
              <w:rPr>
                <w:rFonts w:ascii="Arial Narrow" w:hAnsi="Arial Narrow" w:cs="Arial"/>
                <w:sz w:val="20"/>
                <w:szCs w:val="20"/>
              </w:rPr>
              <w:t>szklanych, skutecznie usuwają zabrudzenia różnego rodzaju: plamy, kurz, nie zawierają alkoholu, antystatyczne, 1 opakowanie – duża tuba / 100 sztuk w tubie,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Taśma klejąca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dwustronna,  50 mm x 25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Taśma klejąca typu Esselte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pakowa, 48 mm x 66 m, brązowa lub przezroczysta,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do trwałego zaklejania pudełek i wiązania przedmiotów, odporna na proces starzenia się, wysoka początkowa siła klejenia, cicha przy odwijaniu z rolki, wykonana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z mocnej folii PP (grubość 28 mic.)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Taśma klejąca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transparentna, 18 mm x 30 m, wysokiej jakości, przezroczysta, bezbarwna, do stosowania w biurze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Taśma klejąca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transparentna, 24 mm x 30 m, wysokiej jakości, przezroczysta, bezbarwna, do stosowania w biurze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Worki na śmieci typu LIDER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do niszczarki, w rolce, ok. 160 litrów,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1 rolka 50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Zakładki indeksujące typu MEMO zakładka transparent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bloczek kartek samoprzylepnych, zakładki tzw, „flagi” wykonane z przezroczystej kalki technicznej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 kolorowym marginesem, o wymiarach 20x50 mm,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4 kolory po 40 kartek w każdym kolorze, w okładce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Zszywki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rodzaj 24/6, wysokiej jakości, do standardowych zszywaczy, 1 opakowanie 1000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Korektor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taśmie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Teczki kolorowe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wykonana z tektury o gramaturze 380 g/m2, format A4, szerokość do 20 mm, jednostronnie barwiona i lakierowana z zewnętrznej strony. Zamykana na gumkę.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Koszulka z klapką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Miękka, wykonana z gładkiej, matowej </w:t>
            </w:r>
            <w:r>
              <w:rPr>
                <w:rFonts w:ascii="Arial Narrow" w:hAnsi="Arial Narrow" w:cs="Arial"/>
                <w:sz w:val="20"/>
                <w:szCs w:val="20"/>
              </w:rPr>
              <w:t>ekologicznej folii polipropylenowej  A4 1op. (10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Koszulka z klapką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Miękka, wykonana z gładkiej, matowej ekologicznej folii polipropylenowej  B4 1op. (10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Klej w sztyfcie typu Pritt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Kalkulator </w:t>
            </w:r>
            <w:r>
              <w:rPr>
                <w:rFonts w:ascii="Arial Narrow" w:hAnsi="Arial Narrow" w:cs="Arial"/>
                <w:sz w:val="20"/>
                <w:szCs w:val="20"/>
              </w:rPr>
              <w:t>biurowy typu Vector CD 2372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12 pozycyjny wyświetlacz, zaokrąglanie wyników, funkcja check&amp;correct - przeglądanie i korekta działań (105 kroków), funkcja obliczeń podatkowych (TAX), obliczenia sumy końcowej (GT), obliczanie marży, klawisz cofania, klawisz </w:t>
            </w:r>
            <w:r>
              <w:rPr>
                <w:rFonts w:ascii="Arial Narrow" w:hAnsi="Arial Narrow" w:cs="Arial"/>
                <w:sz w:val="20"/>
                <w:szCs w:val="20"/>
              </w:rPr>
              <w:t>podwójnego zera, podwójne zasilanie, wymiary 180x135x40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Temperówka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metalowa, w kształcie klina, pojedyncza, profilowana obudowa wykonana techniką frezowania z twardego stopu magnezu; ostrze precyzyjnie połączone z obudową zapewnia idealnie </w:t>
            </w:r>
            <w:r>
              <w:rPr>
                <w:rFonts w:ascii="Arial Narrow" w:hAnsi="Arial Narrow" w:cs="Arial Narrow"/>
                <w:sz w:val="20"/>
                <w:szCs w:val="20"/>
              </w:rPr>
              <w:t>centralne położenie ołówka podczas temperowania, z profilowanymi rowkami ułatwiającymi trzymanie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</w:pPr>
            <w:r>
              <w:rPr>
                <w:rFonts w:ascii="Arial Narrow" w:hAnsi="Arial Narrow" w:cs="Tahoma"/>
                <w:kern w:val="0"/>
                <w:sz w:val="20"/>
                <w:szCs w:val="20"/>
                <w:lang w:eastAsia="pl-PL"/>
              </w:rPr>
              <w:t xml:space="preserve">Etykiety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</w:pPr>
            <w:r>
              <w:rPr>
                <w:rFonts w:ascii="Arial Narrow" w:hAnsi="Arial Narrow" w:cs="Tahoma"/>
                <w:kern w:val="0"/>
                <w:sz w:val="20"/>
                <w:szCs w:val="20"/>
                <w:lang w:eastAsia="pl-PL"/>
              </w:rPr>
              <w:t>do segregatora 7/25 wsuwane 92711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Nożyczki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</w:pPr>
            <w:r>
              <w:rPr>
                <w:rFonts w:ascii="Arial Narrow" w:hAnsi="Arial Narrow" w:cs="Tahoma"/>
                <w:sz w:val="20"/>
                <w:szCs w:val="20"/>
              </w:rPr>
              <w:t>Taurus 16 cm czarne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Nożyczki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</w:pPr>
            <w:r>
              <w:rPr>
                <w:rFonts w:ascii="Arial Narrow" w:hAnsi="Arial Narrow" w:cs="Tahoma"/>
                <w:sz w:val="20"/>
                <w:szCs w:val="20"/>
              </w:rPr>
              <w:t>Taurus 21 cm czarne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Zszywacz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Standard"/>
            </w:pP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EAG 5023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Zakreślacz typu Stabolo Boss Original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Zakreślacz fluorescencyjny z tuszem na bazie wody do pisania na wszystkich rodzajach papieru. Duża odporność na wysychanie. Szerokość linii od 2 do 5 mm. 1 etui 4szt.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Bateria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Bateria AA LR6 1,5V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Bateria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pStyle w:val="Nagwek1"/>
              <w:jc w:val="lef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Bateria HHR – 55AAAB 1,2 V Min. 550 mAh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Klipsy biurowe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klipsy do akt, metalowe, odporne na odkształcanie, galwanizowane, rozmiar 25 mm,1 opakowanie 12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 xml:space="preserve">Klipsy </w:t>
            </w:r>
            <w:r>
              <w:rPr>
                <w:rFonts w:ascii="Arial Narrow" w:hAnsi="Arial Narrow" w:cs="Arial"/>
                <w:sz w:val="20"/>
                <w:szCs w:val="20"/>
              </w:rPr>
              <w:t>biurowe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klipsy do akt, metalowe, odporne na odkształcanie, galwanizowane, rozmiar 32 mm, 1 opakowanie 12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Klipsy biurowe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klipsy do akt, metalowe, odporne na odkształcanie, galwanizowane, rozmiar 41 mm, 1 opakowanie 12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</w:rPr>
              <w:t>Klipsy biurowe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klipsy do akt, metalowe, odporne na odkształcanie, galwanizowane, rozmiar 51 mm, 1 opakowanie 12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Przybornik na biurko typu Eagle 330B czarny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plastikowy, kolor czarny, wymiary: 200x119x90mm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Biuwar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sz w:val="20"/>
                <w:szCs w:val="20"/>
              </w:rPr>
              <w:t>Praktyczny podkład na biurko z dużym obszarem do notowania zaprojektowany specjalnie do biura. Na tronie znajduje się kalendarz na cały rok 2015 i 2016. Drukowany na białym papierze. Zawiera 52 karty (1 karta przeznaczona na każdy tydzień).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Rozszywacz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usuwania wszystkich typów zszywek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Sprężone powietrze Ecko plus 400 ml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Sprężone powietrze do trudno dostępnych szczelin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w klawiaturze komputera lub innych urządzeniach elektronicznych. Pojemność 400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Szuflada </w:t>
            </w:r>
            <w:r>
              <w:rPr>
                <w:rFonts w:ascii="Arial Narrow" w:hAnsi="Arial Narrow" w:cs="Arial"/>
                <w:sz w:val="20"/>
                <w:szCs w:val="20"/>
              </w:rPr>
              <w:t>na dokumenty OFFICE PRODUCTS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Półeczka wykonana z mieszanki polistyrenu i polipropylenu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Jest bardzo wytrzymała, odporna za zarysowania i pęknięcia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Z przodu wygospodarowane miejsce na etykietkę opisującą przeznaczenie kuwetki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Szuflady można układać jedna n</w:t>
            </w:r>
            <w:r>
              <w:rPr>
                <w:rFonts w:ascii="Arial Narrow" w:hAnsi="Arial Narrow" w:cs="Arial"/>
                <w:sz w:val="20"/>
                <w:szCs w:val="20"/>
              </w:rPr>
              <w:t>a drugiej pionowo lub kaskadowo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Wymiary wewnętrzne 244x43x325mm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Wymiary zewnętrzne 254x60x346mm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W kolorze dymnym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Długopis PILOT G-1 GRIP czerwony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Długopisy z wymiennym wkładem żelowym, grubość linii pisania: 0.32 mm, długość linii 1,000 m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Końcówka ze wzmacnianej nierdzewnej stali.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Długopis PILOT G-1 GRIP niebieski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Długopisy z wymiennym wkładem żelowym, grubość linii pisania: 0.32 mm, długość linii 1,000 m Końcówka ze wzmacnianej nierdzewnej stali.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Długopis </w:t>
            </w:r>
            <w:r>
              <w:rPr>
                <w:rFonts w:ascii="Arial Narrow" w:hAnsi="Arial Narrow"/>
                <w:sz w:val="20"/>
                <w:szCs w:val="20"/>
              </w:rPr>
              <w:t>PILOT G-1 GRIP czarny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Długopisy z wymiennym wkładem żelowym, grubość linii pisania: 0.32 mm, długość linii 1,000 m Końcówka ze wzmacnianej nierdzewnej stali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Wkład do długopisów PILOT G-1 czerwony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Wkład do pióra kulk.Pilot G1</w:t>
            </w:r>
          </w:p>
          <w:p w:rsidR="00793655" w:rsidRDefault="007936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Wkład do długopisów PILOT G-1 niebieski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Wkład do pióra kulk.Pilot G1 </w:t>
            </w:r>
          </w:p>
          <w:p w:rsidR="00793655" w:rsidRDefault="007936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Wkład do długopisów PILOT G-1 czarny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Wkład do pióra kulk.Pilot G1</w:t>
            </w:r>
          </w:p>
          <w:p w:rsidR="00793655" w:rsidRDefault="007936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Wkład do pióra PILOT Frixion niebieski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hyperlink r:id="rId6" w:history="1">
              <w:r>
                <w:rPr>
                  <w:rFonts w:ascii="Arial Narrow" w:hAnsi="Arial Narrow"/>
                  <w:sz w:val="20"/>
                  <w:szCs w:val="20"/>
                  <w:shd w:val="clear" w:color="auto" w:fill="FFFFFF"/>
                </w:rPr>
                <w:t>Wkład do piór</w:t>
              </w:r>
              <w:r>
                <w:rPr>
                  <w:rFonts w:ascii="Arial Narrow" w:hAnsi="Arial Narrow"/>
                  <w:sz w:val="20"/>
                  <w:szCs w:val="20"/>
                  <w:shd w:val="clear" w:color="auto" w:fill="FFFFFF"/>
                </w:rPr>
                <w:t>a Pilot Frixion 0,7mm niebieski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Druciany przybornik Donau (czarny)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Przybornik z klasycznego zestawu akcesoriów biurowych Donau Office Set,. Wykonany z dziurkowanego metalu.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Tusz do stempli Noris czerwony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tusz wodny 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znakowania papieru, dokumentów,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do stempli ręcznych i samotuszujących, idealny do stempli z gumową lub polimerową płytką stemplującą, pojemność 25 ml,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Tusz do stempli Noris czarny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tusz wodny do znakowania papieru, dokumentów,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do stempli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ręcznych i samotuszujących, idealny do stempli z gumową lub polimerową płytką stemplującą, pojemność 25 ml,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Tusz do stempli Noris niebieski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tusz wodny do znakowania papieru, dokumentów,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do stempli ręcznych i samotuszujących, idealny do </w:t>
            </w:r>
            <w:r>
              <w:rPr>
                <w:rFonts w:ascii="Arial Narrow" w:hAnsi="Arial Narrow" w:cs="Arial"/>
                <w:sz w:val="20"/>
                <w:szCs w:val="20"/>
              </w:rPr>
              <w:t>stempli z gumową lub polimerową płytką stemplującą, pojemność 25 ml,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Notes samoprzylepny Post-it 38x51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Notesy samoprzylepne Post-it® 653-TFEN Paleta Energetyczna 38mmx51mm 100k./12pk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Notes samoprzylepny Post-it 76x76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Notesy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samoprzylepne Post-it® 654-TFEN Paleta Energetyczna 76mmx76mm 100k./6 pk.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Zakładka indeksująca typu MEMO 4x20x50 brillant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bloczek kartek samoprzylepnych o wymiarach 20x50 mm, 4 kolory po 40 kartek w każdym kolorze, w okładce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Chusteczki nasączone do ekranów Durable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spacing w:before="100" w:after="100" w:line="240" w:lineRule="auto"/>
            </w:pPr>
            <w:r>
              <w:rPr>
                <w:rFonts w:ascii="Arial Narrow" w:hAnsi="Arial Narrow"/>
                <w:bCs/>
                <w:sz w:val="20"/>
                <w:szCs w:val="20"/>
              </w:rPr>
              <w:t>Do delikatnego czyszczenia bez smug wszystkich ekranów komputerów i sprzętu biurowego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nawilożne chusteczki do czyszczenia powierzni szklanych, np.. Monitora, chusteczki nadają sie do czyszczenia monitorów CRT,LCD 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TFT)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Taśma bawełniana do archiwizacji 100m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taśma do fastykuł, biała, 1 opakowanie 100 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Cienkopis RYSTOR (w różnych kolorach)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Niezawodny, ekonomiczny w użyciu cienkopis z fibrową końcówką piszącą oprawioną w metal o grubości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0,4 mm; tusz na bazie wody; wentylowana skuwka.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(30 szt. Czarnych, 10 szt czerwonych, 10 szt. Zielonych,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 szt. Niebieskich)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Etykiety samoprzylepne LAMBDA  A4 105x 42 (adresowe)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białe, uniwersalne - do wszystkich rodzajów drukarek,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charakteryzujące się bardzo dobrą przyczepnością do podłoża, na arkuszach A4, rozmiar 105x42,4 mm,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1 opakowanie 100 arkuszy / 1400 etykiet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78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Koszulki miękkie foliowe A4/100 sztuk (przeźroczyste)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 dokumenty formatu A4, wykonane z folii PP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o strukturze groszkowej, brzeg specjalnie wzmocniony, multiperforowane, otwarte na górze, przezroczyste, antyelektrostatyczne, 1 opakowanie 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79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Obwoluta z klapką A4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obwoluta na dokumenty, wykonana z przezroczystej sztywnej folii o </w:t>
            </w:r>
            <w:r>
              <w:rPr>
                <w:rFonts w:ascii="Arial Narrow" w:hAnsi="Arial Narrow" w:cs="Arial"/>
                <w:sz w:val="20"/>
                <w:szCs w:val="20"/>
              </w:rPr>
              <w:t>strukturze groszkowej, z boczną klapką, multiperforowana, format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Obwoluta z klapka B4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obwoluta na dokumenty, wykonana z przezroczystej sztywnej folii o strukturze groszkowej, z boczną klapką, multiperforowana, format B4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Zakreślacz  fluorescencyjny STABILO (żółty, zielony, pomarańczowy)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fluorescencyjny, idealny do wszystkich rodzajów papieru, uniwersalny atrament na bazie wody, możliwość zakreślania linią o szerokości 5, 2 lub 1 mm,  różne kolory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Notes </w:t>
            </w:r>
            <w:r>
              <w:rPr>
                <w:rFonts w:ascii="Arial Narrow" w:hAnsi="Arial Narrow"/>
                <w:sz w:val="20"/>
                <w:szCs w:val="20"/>
              </w:rPr>
              <w:t>samoprzylepny  typu DONAU 38x51 mm żółty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bloczek karteczek samoprzylepnych </w:t>
            </w:r>
            <w:r>
              <w:rPr>
                <w:rFonts w:ascii="Arial Narrow" w:hAnsi="Arial Narrow" w:cs="Arial"/>
                <w:sz w:val="20"/>
                <w:szCs w:val="20"/>
              </w:rPr>
              <w:t>38x51 mm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substancja klejąca usuwana za pomocą wody,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 Narrow" w:hAnsi="Arial Narrow" w:cs="Arial"/>
                <w:sz w:val="20"/>
                <w:szCs w:val="20"/>
              </w:rPr>
              <w:t>bloczek / 100 karteczek,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samoprzylepny typu DONAU 76x76 mm żółty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bloczek karteczek samoprzylepnych </w:t>
            </w:r>
            <w:r>
              <w:rPr>
                <w:rFonts w:ascii="Arial Narrow" w:hAnsi="Arial Narrow" w:cs="Arial"/>
                <w:sz w:val="20"/>
                <w:szCs w:val="20"/>
              </w:rPr>
              <w:t>76x76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zapakowany w torebkę foliową z paskiem ułatwiającym natychmiastowe otwarcie, substancja klejąca usuwana za pomocą wody, 1 </w:t>
            </w:r>
            <w:r>
              <w:rPr>
                <w:rFonts w:ascii="Arial Narrow" w:hAnsi="Arial Narrow" w:cs="Arial"/>
                <w:sz w:val="20"/>
                <w:szCs w:val="20"/>
              </w:rPr>
              <w:t>bloczek / 100 karteczek,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Korektor taśma Tipp-Ex Pocket Mouse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clear" w:color="auto" w:fill="FFFFFF"/>
                <w:lang w:val="en-US"/>
              </w:rPr>
              <w:t>4,2mm x 10m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Korektor z taśmą o szerokości 4,2 mm i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długości 10 m. Taśma odporna na światło, doskonała do biura, domu, szkoły.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6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655" w:rsidRDefault="00AA69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Suma brutto w złotych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655" w:rsidRDefault="00793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93655" w:rsidRDefault="00793655"/>
    <w:sectPr w:rsidR="00793655">
      <w:pgSz w:w="16838" w:h="11906" w:orient="landscape"/>
      <w:pgMar w:top="1418" w:right="1077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34" w:rsidRDefault="00AA6934">
      <w:pPr>
        <w:spacing w:after="0" w:line="240" w:lineRule="auto"/>
      </w:pPr>
      <w:r>
        <w:separator/>
      </w:r>
    </w:p>
  </w:endnote>
  <w:endnote w:type="continuationSeparator" w:id="0">
    <w:p w:rsidR="00AA6934" w:rsidRDefault="00AA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s Gothic C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34" w:rsidRDefault="00AA69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6934" w:rsidRDefault="00AA6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3655"/>
    <w:rsid w:val="00065874"/>
    <w:rsid w:val="00793655"/>
    <w:rsid w:val="00A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5ECC-3D89-4B0A-89CA-A10A96B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Arial Narrow" w:hAnsi="Arial Narrow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Pogrubienie">
    <w:name w:val="Strong"/>
    <w:rPr>
      <w:b/>
      <w:bCs/>
    </w:rPr>
  </w:style>
  <w:style w:type="paragraph" w:customStyle="1" w:styleId="Pa4">
    <w:name w:val="Pa4"/>
    <w:basedOn w:val="Normalny"/>
    <w:next w:val="Normalny"/>
    <w:pPr>
      <w:autoSpaceDE w:val="0"/>
      <w:spacing w:after="0" w:line="161" w:lineRule="atLeast"/>
    </w:pPr>
    <w:rPr>
      <w:rFonts w:ascii="News Gothic CE" w:hAnsi="News Gothic CE"/>
      <w:sz w:val="24"/>
      <w:szCs w:val="24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eo.pl/Click/Offer/?e=O84ZLRhMPK6H9ZUimDzkoKgot7g_1hp5-dHvO4fM4h_wrFy_8rGtqUJsKPU2fCeV0A7TEcsutYTgqsheevudPCEp2NMqrzXfpVBMwlkFDd03ohCGI7OldDl4XOYjg58MpVBMwlkFDd2lUEzCWQUN3RA4au4k6YUa-bmzsha0qwqlUEzCWQUN3T7FqvAHVz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1809</Words>
  <Characters>13354</Characters>
  <Application>Microsoft Office Word</Application>
  <DocSecurity>0</DocSecurity>
  <Lines>153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Matysiak</dc:creator>
  <dc:description/>
  <cp:lastModifiedBy>Adam Paszkowski</cp:lastModifiedBy>
  <cp:revision>2</cp:revision>
  <dcterms:created xsi:type="dcterms:W3CDTF">2014-10-21T10:01:00Z</dcterms:created>
  <dcterms:modified xsi:type="dcterms:W3CDTF">2014-10-21T10:01:00Z</dcterms:modified>
</cp:coreProperties>
</file>